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3E" w:rsidRDefault="00304FE1">
      <w:pPr>
        <w:spacing w:after="0" w:line="259" w:lineRule="auto"/>
        <w:ind w:left="0" w:firstLine="0"/>
      </w:pPr>
      <w:bookmarkStart w:id="0" w:name="_GoBack"/>
      <w:bookmarkEnd w:id="0"/>
      <w:r>
        <w:rPr>
          <w:b/>
          <w:sz w:val="28"/>
        </w:rPr>
        <w:t xml:space="preserve">Kings of Israel III: The Divided Kingdom, Judah </w:t>
      </w:r>
    </w:p>
    <w:p w:rsidR="00EB213E" w:rsidRDefault="00304FE1">
      <w:pPr>
        <w:spacing w:after="15" w:line="259" w:lineRule="auto"/>
        <w:ind w:left="-5"/>
      </w:pPr>
      <w:r>
        <w:rPr>
          <w:sz w:val="20"/>
        </w:rPr>
        <w:t xml:space="preserve">Instructor-Pat Reeder </w:t>
      </w:r>
    </w:p>
    <w:p w:rsidR="00EB213E" w:rsidRDefault="00304FE1">
      <w:pPr>
        <w:spacing w:after="15" w:line="259" w:lineRule="auto"/>
        <w:ind w:left="-5"/>
      </w:pPr>
      <w:r>
        <w:rPr>
          <w:sz w:val="20"/>
        </w:rPr>
        <w:t xml:space="preserve">Wednesday evenings, 7pm-9:30pm </w:t>
      </w:r>
    </w:p>
    <w:p w:rsidR="00EB213E" w:rsidRDefault="00304FE1">
      <w:pPr>
        <w:spacing w:after="35" w:line="259" w:lineRule="auto"/>
        <w:ind w:left="0" w:firstLine="0"/>
      </w:pPr>
      <w:r>
        <w:rPr>
          <w:sz w:val="20"/>
        </w:rPr>
        <w:t xml:space="preserve"> </w:t>
      </w:r>
    </w:p>
    <w:p w:rsidR="00EB213E" w:rsidRDefault="00304FE1">
      <w:pPr>
        <w:pStyle w:val="Heading1"/>
        <w:ind w:left="-5"/>
      </w:pPr>
      <w:r>
        <w:t xml:space="preserve">Course description </w:t>
      </w:r>
    </w:p>
    <w:p w:rsidR="00EB213E" w:rsidRDefault="00304FE1">
      <w:pPr>
        <w:ind w:left="-5"/>
      </w:pPr>
      <w:r>
        <w:t xml:space="preserve">The book(s) of Chronicles is often ignored or skipped for two reasons.  First, it contains an impervious nine chapters of genealogies.  Second, the remainder feels like a repeat of much that came before it.  This is unfortunate, because if the book of I &amp; </w:t>
      </w:r>
      <w:r>
        <w:t>II Kings is about sin and judgment, Chronicles is about salvation.   Chronicles near comprehensive historical reach—ranging from the beginning of human history to the return from exile—is no mere repeat but was organized with a very specific message in min</w:t>
      </w:r>
      <w:r>
        <w:t>d.  On top of recapitulating some of the disturbing moral, political and spiritual degradation of God’s chosen people from the first two courses, we will explore the unique aspects of the book(s) of Chronicles to understand how all the parts fit together—g</w:t>
      </w:r>
      <w:r>
        <w:t xml:space="preserve">enealogies included! </w:t>
      </w:r>
    </w:p>
    <w:p w:rsidR="00EB213E" w:rsidRDefault="00304FE1">
      <w:pPr>
        <w:spacing w:after="15" w:line="259" w:lineRule="auto"/>
        <w:ind w:left="0" w:firstLine="0"/>
      </w:pPr>
      <w:r>
        <w:t xml:space="preserve"> </w:t>
      </w:r>
    </w:p>
    <w:p w:rsidR="00EB213E" w:rsidRDefault="00304FE1">
      <w:pPr>
        <w:pStyle w:val="Heading1"/>
        <w:ind w:left="-5"/>
      </w:pPr>
      <w:r>
        <w:t xml:space="preserve">Course goals </w:t>
      </w:r>
    </w:p>
    <w:p w:rsidR="00EB213E" w:rsidRDefault="00304FE1">
      <w:pPr>
        <w:numPr>
          <w:ilvl w:val="0"/>
          <w:numId w:val="1"/>
        </w:numPr>
        <w:spacing w:after="18" w:line="259" w:lineRule="auto"/>
        <w:ind w:hanging="361"/>
      </w:pPr>
      <w:r>
        <w:t xml:space="preserve">Enable students to see how major biblical doctrines play out vividly over a period of centuries. </w:t>
      </w:r>
    </w:p>
    <w:p w:rsidR="00EB213E" w:rsidRDefault="00304FE1">
      <w:pPr>
        <w:numPr>
          <w:ilvl w:val="0"/>
          <w:numId w:val="1"/>
        </w:numPr>
        <w:ind w:hanging="361"/>
      </w:pPr>
      <w:r>
        <w:t>Help students understand generally how to read narrative more broadly, examining the ways in literary technique is wield</w:t>
      </w:r>
      <w:r>
        <w:t xml:space="preserve">ed to point in a theological direction.   </w:t>
      </w:r>
    </w:p>
    <w:p w:rsidR="00EB213E" w:rsidRDefault="00304FE1">
      <w:pPr>
        <w:spacing w:after="15" w:line="259" w:lineRule="auto"/>
        <w:ind w:left="721" w:firstLine="0"/>
      </w:pPr>
      <w:r>
        <w:t xml:space="preserve"> </w:t>
      </w:r>
    </w:p>
    <w:p w:rsidR="00EB213E" w:rsidRDefault="00304FE1">
      <w:pPr>
        <w:pStyle w:val="Heading1"/>
        <w:ind w:left="-5"/>
      </w:pPr>
      <w:r>
        <w:t>Course Requirements</w:t>
      </w:r>
      <w:r>
        <w:rPr>
          <w:b w:val="0"/>
        </w:rPr>
        <w:t xml:space="preserve"> </w:t>
      </w:r>
    </w:p>
    <w:p w:rsidR="00EB213E" w:rsidRDefault="00304FE1">
      <w:pPr>
        <w:ind w:left="-5"/>
      </w:pPr>
      <w:r>
        <w:rPr>
          <w:i/>
        </w:rPr>
        <w:t xml:space="preserve">Attendance </w:t>
      </w:r>
      <w:r>
        <w:t xml:space="preserve">Students must attend at least 4 of 5 classes to pass.  Everyone has 1 “excused absence” before receiving an incomplete.  Any other absence is negotiable, to be discussed with the </w:t>
      </w:r>
      <w:r>
        <w:t xml:space="preserve">instructor.  </w:t>
      </w:r>
    </w:p>
    <w:p w:rsidR="00EB213E" w:rsidRDefault="00304FE1">
      <w:pPr>
        <w:spacing w:after="20" w:line="259" w:lineRule="auto"/>
        <w:ind w:left="0" w:firstLine="0"/>
      </w:pPr>
      <w:r>
        <w:t xml:space="preserve"> </w:t>
      </w:r>
    </w:p>
    <w:p w:rsidR="00EB213E" w:rsidRDefault="00304FE1">
      <w:pPr>
        <w:ind w:left="-5"/>
      </w:pPr>
      <w:r>
        <w:rPr>
          <w:i/>
        </w:rPr>
        <w:t xml:space="preserve">Readings, Homework </w:t>
      </w:r>
      <w:r>
        <w:t xml:space="preserve">There will be weekly readings to keep in step with the material being covered each week.  Questions on the readings can be found on the back of this sheet.  These are strictly completion based.   </w:t>
      </w:r>
    </w:p>
    <w:p w:rsidR="00EB213E" w:rsidRDefault="00304FE1">
      <w:pPr>
        <w:spacing w:after="15" w:line="259" w:lineRule="auto"/>
        <w:ind w:left="0" w:firstLine="0"/>
      </w:pPr>
      <w:r>
        <w:t xml:space="preserve"> </w:t>
      </w:r>
    </w:p>
    <w:p w:rsidR="00EB213E" w:rsidRDefault="00304FE1">
      <w:pPr>
        <w:pStyle w:val="Heading1"/>
        <w:ind w:left="-5"/>
      </w:pPr>
      <w:r>
        <w:t xml:space="preserve">Calendar </w:t>
      </w:r>
    </w:p>
    <w:tbl>
      <w:tblPr>
        <w:tblStyle w:val="TableGrid"/>
        <w:tblW w:w="9354" w:type="dxa"/>
        <w:tblInd w:w="5" w:type="dxa"/>
        <w:tblCellMar>
          <w:top w:w="11" w:type="dxa"/>
          <w:left w:w="110" w:type="dxa"/>
          <w:bottom w:w="0" w:type="dxa"/>
          <w:right w:w="90" w:type="dxa"/>
        </w:tblCellMar>
        <w:tblLook w:val="04A0" w:firstRow="1" w:lastRow="0" w:firstColumn="1" w:lastColumn="0" w:noHBand="0" w:noVBand="1"/>
      </w:tblPr>
      <w:tblGrid>
        <w:gridCol w:w="831"/>
        <w:gridCol w:w="1086"/>
        <w:gridCol w:w="2401"/>
        <w:gridCol w:w="1080"/>
        <w:gridCol w:w="3956"/>
      </w:tblGrid>
      <w:tr w:rsidR="00EB213E">
        <w:trPr>
          <w:trHeight w:val="270"/>
        </w:trPr>
        <w:tc>
          <w:tcPr>
            <w:tcW w:w="831" w:type="dxa"/>
            <w:tcBorders>
              <w:top w:val="nil"/>
              <w:left w:val="nil"/>
              <w:bottom w:val="nil"/>
              <w:right w:val="nil"/>
            </w:tcBorders>
            <w:shd w:val="clear" w:color="auto" w:fill="4F81BD"/>
          </w:tcPr>
          <w:p w:rsidR="00EB213E" w:rsidRDefault="00304FE1">
            <w:pPr>
              <w:spacing w:after="0" w:line="259" w:lineRule="auto"/>
              <w:ind w:left="85" w:firstLine="0"/>
            </w:pPr>
            <w:r>
              <w:rPr>
                <w:b/>
                <w:color w:val="FFFFFF"/>
              </w:rPr>
              <w:t>Date</w:t>
            </w:r>
            <w:r>
              <w:rPr>
                <w:color w:val="FFFFFF"/>
              </w:rPr>
              <w:t xml:space="preserve"> </w:t>
            </w:r>
          </w:p>
        </w:tc>
        <w:tc>
          <w:tcPr>
            <w:tcW w:w="1086" w:type="dxa"/>
            <w:tcBorders>
              <w:top w:val="nil"/>
              <w:left w:val="nil"/>
              <w:bottom w:val="nil"/>
              <w:right w:val="nil"/>
            </w:tcBorders>
            <w:shd w:val="clear" w:color="auto" w:fill="4F81BD"/>
          </w:tcPr>
          <w:p w:rsidR="00EB213E" w:rsidRDefault="00304FE1">
            <w:pPr>
              <w:spacing w:after="0" w:line="259" w:lineRule="auto"/>
              <w:ind w:left="0" w:right="28" w:firstLine="0"/>
              <w:jc w:val="center"/>
            </w:pPr>
            <w:r>
              <w:rPr>
                <w:b/>
                <w:color w:val="FFFFFF"/>
              </w:rPr>
              <w:t>Session</w:t>
            </w:r>
            <w:r>
              <w:rPr>
                <w:color w:val="FFFFFF"/>
              </w:rPr>
              <w:t xml:space="preserve"> </w:t>
            </w:r>
          </w:p>
        </w:tc>
        <w:tc>
          <w:tcPr>
            <w:tcW w:w="2401" w:type="dxa"/>
            <w:tcBorders>
              <w:top w:val="nil"/>
              <w:left w:val="nil"/>
              <w:bottom w:val="nil"/>
              <w:right w:val="nil"/>
            </w:tcBorders>
            <w:shd w:val="clear" w:color="auto" w:fill="4F81BD"/>
          </w:tcPr>
          <w:p w:rsidR="00EB213E" w:rsidRDefault="00304FE1">
            <w:pPr>
              <w:spacing w:after="0" w:line="259" w:lineRule="auto"/>
              <w:ind w:left="0" w:firstLine="0"/>
            </w:pPr>
            <w:r>
              <w:rPr>
                <w:b/>
                <w:color w:val="FFFFFF"/>
              </w:rPr>
              <w:t>Readings</w:t>
            </w:r>
            <w:r>
              <w:rPr>
                <w:color w:val="FFFFFF"/>
              </w:rPr>
              <w:t xml:space="preserve"> </w:t>
            </w:r>
          </w:p>
        </w:tc>
        <w:tc>
          <w:tcPr>
            <w:tcW w:w="1080" w:type="dxa"/>
            <w:tcBorders>
              <w:top w:val="nil"/>
              <w:left w:val="nil"/>
              <w:bottom w:val="nil"/>
              <w:right w:val="nil"/>
            </w:tcBorders>
            <w:shd w:val="clear" w:color="auto" w:fill="4F81BD"/>
          </w:tcPr>
          <w:p w:rsidR="00EB213E" w:rsidRDefault="00304FE1">
            <w:pPr>
              <w:spacing w:after="0" w:line="259" w:lineRule="auto"/>
              <w:ind w:left="0" w:firstLine="0"/>
              <w:jc w:val="both"/>
            </w:pPr>
            <w:r>
              <w:rPr>
                <w:b/>
                <w:color w:val="FFFFFF"/>
              </w:rPr>
              <w:t xml:space="preserve">HW Due </w:t>
            </w:r>
          </w:p>
        </w:tc>
        <w:tc>
          <w:tcPr>
            <w:tcW w:w="3957" w:type="dxa"/>
            <w:tcBorders>
              <w:top w:val="nil"/>
              <w:left w:val="nil"/>
              <w:bottom w:val="nil"/>
              <w:right w:val="nil"/>
            </w:tcBorders>
            <w:shd w:val="clear" w:color="auto" w:fill="4F81BD"/>
          </w:tcPr>
          <w:p w:rsidR="00EB213E" w:rsidRDefault="00304FE1">
            <w:pPr>
              <w:spacing w:after="0" w:line="259" w:lineRule="auto"/>
              <w:ind w:left="0" w:firstLine="0"/>
            </w:pPr>
            <w:r>
              <w:rPr>
                <w:b/>
                <w:color w:val="FFFFFF"/>
              </w:rPr>
              <w:t>Content</w:t>
            </w:r>
            <w:r>
              <w:rPr>
                <w:color w:val="FFFFFF"/>
              </w:rPr>
              <w:t xml:space="preserve"> </w:t>
            </w:r>
          </w:p>
        </w:tc>
      </w:tr>
      <w:tr w:rsidR="00EB213E">
        <w:trPr>
          <w:trHeight w:val="279"/>
        </w:trPr>
        <w:tc>
          <w:tcPr>
            <w:tcW w:w="831" w:type="dxa"/>
            <w:tcBorders>
              <w:top w:val="nil"/>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0" w:right="15" w:firstLine="0"/>
              <w:jc w:val="center"/>
            </w:pPr>
            <w:r>
              <w:rPr>
                <w:b/>
                <w:sz w:val="24"/>
              </w:rPr>
              <w:t xml:space="preserve">2/19 </w:t>
            </w:r>
          </w:p>
        </w:tc>
        <w:tc>
          <w:tcPr>
            <w:tcW w:w="1086" w:type="dxa"/>
            <w:tcBorders>
              <w:top w:val="nil"/>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70" w:firstLine="0"/>
            </w:pPr>
            <w:r>
              <w:rPr>
                <w:sz w:val="24"/>
              </w:rPr>
              <w:t xml:space="preserve">Week 1 </w:t>
            </w:r>
          </w:p>
        </w:tc>
        <w:tc>
          <w:tcPr>
            <w:tcW w:w="2401" w:type="dxa"/>
            <w:tcBorders>
              <w:top w:val="nil"/>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0" w:firstLine="0"/>
            </w:pPr>
            <w:r>
              <w:rPr>
                <w:sz w:val="24"/>
              </w:rPr>
              <w:t xml:space="preserve">N/A </w:t>
            </w:r>
          </w:p>
        </w:tc>
        <w:tc>
          <w:tcPr>
            <w:tcW w:w="1080" w:type="dxa"/>
            <w:tcBorders>
              <w:top w:val="nil"/>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40" w:firstLine="0"/>
              <w:jc w:val="center"/>
            </w:pPr>
            <w:r>
              <w:rPr>
                <w:sz w:val="24"/>
              </w:rPr>
              <w:t xml:space="preserve"> </w:t>
            </w:r>
          </w:p>
        </w:tc>
        <w:tc>
          <w:tcPr>
            <w:tcW w:w="3957" w:type="dxa"/>
            <w:tcBorders>
              <w:top w:val="nil"/>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0" w:firstLine="0"/>
            </w:pPr>
            <w:r>
              <w:rPr>
                <w:sz w:val="24"/>
              </w:rPr>
              <w:t xml:space="preserve">Introduction </w:t>
            </w:r>
          </w:p>
        </w:tc>
      </w:tr>
      <w:tr w:rsidR="00EB213E">
        <w:trPr>
          <w:trHeight w:val="293"/>
        </w:trPr>
        <w:tc>
          <w:tcPr>
            <w:tcW w:w="831" w:type="dxa"/>
            <w:tcBorders>
              <w:top w:val="single" w:sz="4" w:space="0" w:color="95B3D7"/>
              <w:left w:val="single" w:sz="4" w:space="0" w:color="95B3D7"/>
              <w:bottom w:val="single" w:sz="4" w:space="0" w:color="95B3D7"/>
              <w:right w:val="single" w:sz="4" w:space="0" w:color="95B3D7"/>
            </w:tcBorders>
          </w:tcPr>
          <w:p w:rsidR="00EB213E" w:rsidRDefault="00304FE1">
            <w:pPr>
              <w:spacing w:after="0" w:line="259" w:lineRule="auto"/>
              <w:ind w:left="0" w:right="14" w:firstLine="0"/>
              <w:jc w:val="center"/>
            </w:pPr>
            <w:r>
              <w:rPr>
                <w:b/>
                <w:sz w:val="24"/>
              </w:rPr>
              <w:t xml:space="preserve">2/26 </w:t>
            </w:r>
          </w:p>
        </w:tc>
        <w:tc>
          <w:tcPr>
            <w:tcW w:w="1086" w:type="dxa"/>
            <w:tcBorders>
              <w:top w:val="single" w:sz="4" w:space="0" w:color="95B3D7"/>
              <w:left w:val="single" w:sz="4" w:space="0" w:color="95B3D7"/>
              <w:bottom w:val="single" w:sz="4" w:space="0" w:color="95B3D7"/>
              <w:right w:val="single" w:sz="4" w:space="0" w:color="95B3D7"/>
            </w:tcBorders>
          </w:tcPr>
          <w:p w:rsidR="00EB213E" w:rsidRDefault="00304FE1">
            <w:pPr>
              <w:spacing w:after="0" w:line="259" w:lineRule="auto"/>
              <w:ind w:left="60" w:firstLine="0"/>
            </w:pPr>
            <w:r>
              <w:rPr>
                <w:sz w:val="24"/>
              </w:rPr>
              <w:t xml:space="preserve">Week 2 </w:t>
            </w:r>
          </w:p>
        </w:tc>
        <w:tc>
          <w:tcPr>
            <w:tcW w:w="2401" w:type="dxa"/>
            <w:tcBorders>
              <w:top w:val="single" w:sz="4" w:space="0" w:color="95B3D7"/>
              <w:left w:val="single" w:sz="4" w:space="0" w:color="95B3D7"/>
              <w:bottom w:val="single" w:sz="4" w:space="0" w:color="95B3D7"/>
              <w:right w:val="single" w:sz="4" w:space="0" w:color="95B3D7"/>
            </w:tcBorders>
          </w:tcPr>
          <w:p w:rsidR="00EB213E" w:rsidRDefault="00304FE1">
            <w:pPr>
              <w:spacing w:after="0" w:line="259" w:lineRule="auto"/>
              <w:ind w:left="0" w:firstLine="0"/>
            </w:pPr>
            <w:r>
              <w:rPr>
                <w:sz w:val="24"/>
              </w:rPr>
              <w:t xml:space="preserve">I </w:t>
            </w:r>
            <w:proofErr w:type="spellStart"/>
            <w:r>
              <w:rPr>
                <w:sz w:val="24"/>
              </w:rPr>
              <w:t>Chron</w:t>
            </w:r>
            <w:proofErr w:type="spellEnd"/>
            <w:r>
              <w:rPr>
                <w:sz w:val="24"/>
              </w:rPr>
              <w:t xml:space="preserve"> 1-21 </w:t>
            </w:r>
          </w:p>
        </w:tc>
        <w:tc>
          <w:tcPr>
            <w:tcW w:w="1080" w:type="dxa"/>
            <w:tcBorders>
              <w:top w:val="single" w:sz="4" w:space="0" w:color="95B3D7"/>
              <w:left w:val="single" w:sz="4" w:space="0" w:color="95B3D7"/>
              <w:bottom w:val="single" w:sz="4" w:space="0" w:color="95B3D7"/>
              <w:right w:val="single" w:sz="4" w:space="0" w:color="95B3D7"/>
            </w:tcBorders>
          </w:tcPr>
          <w:p w:rsidR="00EB213E" w:rsidRDefault="00304FE1">
            <w:pPr>
              <w:spacing w:after="0" w:line="259" w:lineRule="auto"/>
              <w:ind w:left="0" w:right="20" w:firstLine="0"/>
              <w:jc w:val="center"/>
            </w:pPr>
            <w:r>
              <w:rPr>
                <w:sz w:val="24"/>
              </w:rPr>
              <w:t xml:space="preserve">1 </w:t>
            </w:r>
          </w:p>
        </w:tc>
        <w:tc>
          <w:tcPr>
            <w:tcW w:w="3957" w:type="dxa"/>
            <w:tcBorders>
              <w:top w:val="single" w:sz="4" w:space="0" w:color="95B3D7"/>
              <w:left w:val="single" w:sz="4" w:space="0" w:color="95B3D7"/>
              <w:bottom w:val="single" w:sz="4" w:space="0" w:color="95B3D7"/>
              <w:right w:val="single" w:sz="4" w:space="0" w:color="95B3D7"/>
            </w:tcBorders>
          </w:tcPr>
          <w:p w:rsidR="00EB213E" w:rsidRDefault="00304FE1">
            <w:pPr>
              <w:spacing w:after="0" w:line="259" w:lineRule="auto"/>
              <w:ind w:left="0" w:firstLine="0"/>
            </w:pPr>
            <w:r>
              <w:rPr>
                <w:sz w:val="24"/>
              </w:rPr>
              <w:t xml:space="preserve">Genealogies, David’s Ascent </w:t>
            </w:r>
          </w:p>
        </w:tc>
      </w:tr>
      <w:tr w:rsidR="00EB213E">
        <w:trPr>
          <w:trHeight w:val="283"/>
        </w:trPr>
        <w:tc>
          <w:tcPr>
            <w:tcW w:w="831" w:type="dxa"/>
            <w:tcBorders>
              <w:top w:val="single" w:sz="4" w:space="0" w:color="95B3D7"/>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0" w:right="15" w:firstLine="0"/>
              <w:jc w:val="center"/>
            </w:pPr>
            <w:r>
              <w:rPr>
                <w:b/>
                <w:sz w:val="24"/>
              </w:rPr>
              <w:t xml:space="preserve">3/4 </w:t>
            </w:r>
          </w:p>
        </w:tc>
        <w:tc>
          <w:tcPr>
            <w:tcW w:w="1086" w:type="dxa"/>
            <w:tcBorders>
              <w:top w:val="single" w:sz="4" w:space="0" w:color="95B3D7"/>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70" w:firstLine="0"/>
            </w:pPr>
            <w:r>
              <w:rPr>
                <w:sz w:val="24"/>
              </w:rPr>
              <w:t xml:space="preserve">Week 3 </w:t>
            </w:r>
          </w:p>
        </w:tc>
        <w:tc>
          <w:tcPr>
            <w:tcW w:w="2401" w:type="dxa"/>
            <w:tcBorders>
              <w:top w:val="single" w:sz="4" w:space="0" w:color="95B3D7"/>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0" w:firstLine="0"/>
            </w:pPr>
            <w:r>
              <w:rPr>
                <w:sz w:val="24"/>
              </w:rPr>
              <w:t xml:space="preserve">I </w:t>
            </w:r>
            <w:proofErr w:type="spellStart"/>
            <w:r>
              <w:rPr>
                <w:sz w:val="24"/>
              </w:rPr>
              <w:t>Chron</w:t>
            </w:r>
            <w:proofErr w:type="spellEnd"/>
            <w:r>
              <w:rPr>
                <w:sz w:val="24"/>
              </w:rPr>
              <w:t xml:space="preserve"> 22-II </w:t>
            </w:r>
            <w:proofErr w:type="spellStart"/>
            <w:r>
              <w:rPr>
                <w:sz w:val="24"/>
              </w:rPr>
              <w:t>Chron</w:t>
            </w:r>
            <w:proofErr w:type="spellEnd"/>
            <w:r>
              <w:rPr>
                <w:sz w:val="24"/>
              </w:rPr>
              <w:t xml:space="preserve"> 9 </w:t>
            </w:r>
          </w:p>
        </w:tc>
        <w:tc>
          <w:tcPr>
            <w:tcW w:w="1080" w:type="dxa"/>
            <w:tcBorders>
              <w:top w:val="single" w:sz="4" w:space="0" w:color="95B3D7"/>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0" w:right="20" w:firstLine="0"/>
              <w:jc w:val="center"/>
            </w:pPr>
            <w:r>
              <w:rPr>
                <w:sz w:val="24"/>
              </w:rPr>
              <w:t xml:space="preserve">2 </w:t>
            </w:r>
          </w:p>
        </w:tc>
        <w:tc>
          <w:tcPr>
            <w:tcW w:w="3957" w:type="dxa"/>
            <w:tcBorders>
              <w:top w:val="single" w:sz="4" w:space="0" w:color="95B3D7"/>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0" w:firstLine="0"/>
            </w:pPr>
            <w:r>
              <w:rPr>
                <w:sz w:val="24"/>
              </w:rPr>
              <w:t xml:space="preserve">The Temple and United Israel </w:t>
            </w:r>
          </w:p>
        </w:tc>
      </w:tr>
      <w:tr w:rsidR="00EB213E">
        <w:trPr>
          <w:trHeight w:val="287"/>
        </w:trPr>
        <w:tc>
          <w:tcPr>
            <w:tcW w:w="831" w:type="dxa"/>
            <w:tcBorders>
              <w:top w:val="single" w:sz="4" w:space="0" w:color="95B3D7"/>
              <w:left w:val="single" w:sz="4" w:space="0" w:color="95B3D7"/>
              <w:bottom w:val="single" w:sz="4" w:space="0" w:color="95B3D7"/>
              <w:right w:val="single" w:sz="4" w:space="0" w:color="95B3D7"/>
            </w:tcBorders>
          </w:tcPr>
          <w:p w:rsidR="00EB213E" w:rsidRDefault="00304FE1">
            <w:pPr>
              <w:spacing w:after="0" w:line="259" w:lineRule="auto"/>
              <w:ind w:left="0" w:right="15" w:firstLine="0"/>
              <w:jc w:val="center"/>
            </w:pPr>
            <w:r>
              <w:rPr>
                <w:b/>
                <w:sz w:val="24"/>
              </w:rPr>
              <w:t xml:space="preserve">3/11 </w:t>
            </w:r>
          </w:p>
        </w:tc>
        <w:tc>
          <w:tcPr>
            <w:tcW w:w="1086" w:type="dxa"/>
            <w:tcBorders>
              <w:top w:val="single" w:sz="4" w:space="0" w:color="95B3D7"/>
              <w:left w:val="single" w:sz="4" w:space="0" w:color="95B3D7"/>
              <w:bottom w:val="single" w:sz="4" w:space="0" w:color="95B3D7"/>
              <w:right w:val="single" w:sz="4" w:space="0" w:color="95B3D7"/>
            </w:tcBorders>
          </w:tcPr>
          <w:p w:rsidR="00EB213E" w:rsidRDefault="00304FE1">
            <w:pPr>
              <w:spacing w:after="0" w:line="259" w:lineRule="auto"/>
              <w:ind w:left="70" w:firstLine="0"/>
            </w:pPr>
            <w:r>
              <w:rPr>
                <w:sz w:val="24"/>
              </w:rPr>
              <w:t xml:space="preserve">Week 4 </w:t>
            </w:r>
          </w:p>
        </w:tc>
        <w:tc>
          <w:tcPr>
            <w:tcW w:w="2401" w:type="dxa"/>
            <w:tcBorders>
              <w:top w:val="single" w:sz="4" w:space="0" w:color="95B3D7"/>
              <w:left w:val="single" w:sz="4" w:space="0" w:color="95B3D7"/>
              <w:bottom w:val="single" w:sz="4" w:space="0" w:color="95B3D7"/>
              <w:right w:val="single" w:sz="4" w:space="0" w:color="95B3D7"/>
            </w:tcBorders>
          </w:tcPr>
          <w:p w:rsidR="00EB213E" w:rsidRDefault="00304FE1">
            <w:pPr>
              <w:spacing w:after="0" w:line="259" w:lineRule="auto"/>
              <w:ind w:left="0" w:firstLine="0"/>
            </w:pPr>
            <w:r>
              <w:rPr>
                <w:sz w:val="24"/>
              </w:rPr>
              <w:t xml:space="preserve">II Chon 10-28 </w:t>
            </w:r>
          </w:p>
        </w:tc>
        <w:tc>
          <w:tcPr>
            <w:tcW w:w="1080" w:type="dxa"/>
            <w:tcBorders>
              <w:top w:val="single" w:sz="4" w:space="0" w:color="95B3D7"/>
              <w:left w:val="single" w:sz="4" w:space="0" w:color="95B3D7"/>
              <w:bottom w:val="single" w:sz="4" w:space="0" w:color="95B3D7"/>
              <w:right w:val="single" w:sz="4" w:space="0" w:color="95B3D7"/>
            </w:tcBorders>
          </w:tcPr>
          <w:p w:rsidR="00EB213E" w:rsidRDefault="00304FE1">
            <w:pPr>
              <w:spacing w:after="0" w:line="259" w:lineRule="auto"/>
              <w:ind w:left="0" w:right="20" w:firstLine="0"/>
              <w:jc w:val="center"/>
            </w:pPr>
            <w:r>
              <w:rPr>
                <w:sz w:val="24"/>
              </w:rPr>
              <w:t xml:space="preserve">3 </w:t>
            </w:r>
          </w:p>
        </w:tc>
        <w:tc>
          <w:tcPr>
            <w:tcW w:w="3957" w:type="dxa"/>
            <w:tcBorders>
              <w:top w:val="single" w:sz="4" w:space="0" w:color="95B3D7"/>
              <w:left w:val="single" w:sz="4" w:space="0" w:color="95B3D7"/>
              <w:bottom w:val="single" w:sz="4" w:space="0" w:color="95B3D7"/>
              <w:right w:val="single" w:sz="4" w:space="0" w:color="95B3D7"/>
            </w:tcBorders>
          </w:tcPr>
          <w:p w:rsidR="00EB213E" w:rsidRDefault="00304FE1">
            <w:pPr>
              <w:spacing w:after="0" w:line="259" w:lineRule="auto"/>
              <w:ind w:left="0" w:firstLine="0"/>
            </w:pPr>
            <w:r>
              <w:rPr>
                <w:sz w:val="24"/>
              </w:rPr>
              <w:t xml:space="preserve">Solomon to Hezekiah </w:t>
            </w:r>
          </w:p>
        </w:tc>
      </w:tr>
      <w:tr w:rsidR="00EB213E">
        <w:trPr>
          <w:trHeight w:val="283"/>
        </w:trPr>
        <w:tc>
          <w:tcPr>
            <w:tcW w:w="831" w:type="dxa"/>
            <w:tcBorders>
              <w:top w:val="single" w:sz="4" w:space="0" w:color="95B3D7"/>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0" w:right="15" w:firstLine="0"/>
              <w:jc w:val="center"/>
            </w:pPr>
            <w:r>
              <w:rPr>
                <w:b/>
                <w:sz w:val="24"/>
              </w:rPr>
              <w:t xml:space="preserve">3/18 </w:t>
            </w:r>
          </w:p>
        </w:tc>
        <w:tc>
          <w:tcPr>
            <w:tcW w:w="1086" w:type="dxa"/>
            <w:tcBorders>
              <w:top w:val="single" w:sz="4" w:space="0" w:color="95B3D7"/>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70" w:firstLine="0"/>
            </w:pPr>
            <w:r>
              <w:rPr>
                <w:sz w:val="24"/>
              </w:rPr>
              <w:t xml:space="preserve">Week 5 </w:t>
            </w:r>
          </w:p>
        </w:tc>
        <w:tc>
          <w:tcPr>
            <w:tcW w:w="2401" w:type="dxa"/>
            <w:tcBorders>
              <w:top w:val="single" w:sz="4" w:space="0" w:color="95B3D7"/>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0" w:firstLine="0"/>
            </w:pPr>
            <w:r>
              <w:rPr>
                <w:sz w:val="24"/>
              </w:rPr>
              <w:t xml:space="preserve">II Chon 29-36 </w:t>
            </w:r>
          </w:p>
        </w:tc>
        <w:tc>
          <w:tcPr>
            <w:tcW w:w="1080" w:type="dxa"/>
            <w:tcBorders>
              <w:top w:val="single" w:sz="4" w:space="0" w:color="95B3D7"/>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0" w:right="20" w:firstLine="0"/>
              <w:jc w:val="center"/>
            </w:pPr>
            <w:r>
              <w:rPr>
                <w:sz w:val="24"/>
              </w:rPr>
              <w:t xml:space="preserve">4 </w:t>
            </w:r>
          </w:p>
        </w:tc>
        <w:tc>
          <w:tcPr>
            <w:tcW w:w="3957" w:type="dxa"/>
            <w:tcBorders>
              <w:top w:val="single" w:sz="4" w:space="0" w:color="95B3D7"/>
              <w:left w:val="single" w:sz="4" w:space="0" w:color="95B3D7"/>
              <w:bottom w:val="single" w:sz="4" w:space="0" w:color="95B3D7"/>
              <w:right w:val="single" w:sz="4" w:space="0" w:color="95B3D7"/>
            </w:tcBorders>
            <w:shd w:val="clear" w:color="auto" w:fill="DBE5F1"/>
          </w:tcPr>
          <w:p w:rsidR="00EB213E" w:rsidRDefault="00304FE1">
            <w:pPr>
              <w:spacing w:after="0" w:line="259" w:lineRule="auto"/>
              <w:ind w:left="0" w:firstLine="0"/>
            </w:pPr>
            <w:r>
              <w:rPr>
                <w:sz w:val="24"/>
              </w:rPr>
              <w:t xml:space="preserve">Hezekiah to Exile (and back!) </w:t>
            </w:r>
          </w:p>
        </w:tc>
      </w:tr>
    </w:tbl>
    <w:p w:rsidR="00EB213E" w:rsidRDefault="00304FE1">
      <w:pPr>
        <w:spacing w:after="15" w:line="259" w:lineRule="auto"/>
        <w:ind w:left="0" w:firstLine="0"/>
      </w:pPr>
      <w:r>
        <w:rPr>
          <w:b/>
        </w:rPr>
        <w:t xml:space="preserve"> </w:t>
      </w:r>
    </w:p>
    <w:p w:rsidR="00EB213E" w:rsidRDefault="00304FE1">
      <w:pPr>
        <w:pStyle w:val="Heading1"/>
        <w:ind w:left="-5"/>
      </w:pPr>
      <w:r>
        <w:t xml:space="preserve">Miscellaneous </w:t>
      </w:r>
    </w:p>
    <w:p w:rsidR="00EB213E" w:rsidRDefault="00304FE1">
      <w:pPr>
        <w:ind w:left="-5"/>
      </w:pPr>
      <w:r>
        <w:t xml:space="preserve">Students will be responsible for their own notes.  We will provide notebooks and the </w:t>
      </w:r>
      <w:proofErr w:type="spellStart"/>
      <w:r>
        <w:t>powerpoints</w:t>
      </w:r>
      <w:proofErr w:type="spellEnd"/>
      <w:r>
        <w:t xml:space="preserve"> will be available upon request. </w:t>
      </w:r>
    </w:p>
    <w:p w:rsidR="00EB213E" w:rsidRDefault="00304FE1">
      <w:pPr>
        <w:spacing w:after="0" w:line="259" w:lineRule="auto"/>
        <w:ind w:left="0" w:firstLine="0"/>
      </w:pPr>
      <w:r>
        <w:lastRenderedPageBreak/>
        <w:t xml:space="preserve"> </w:t>
      </w:r>
      <w:r>
        <w:tab/>
        <w:t xml:space="preserve"> </w:t>
      </w:r>
    </w:p>
    <w:p w:rsidR="00EB213E" w:rsidRDefault="00304FE1">
      <w:pPr>
        <w:ind w:left="-5"/>
      </w:pPr>
      <w:r>
        <w:t xml:space="preserve">For each week, read the weekly selection.  Reflect on and answer the questions to follow. </w:t>
      </w:r>
    </w:p>
    <w:p w:rsidR="00EB213E" w:rsidRDefault="00304FE1">
      <w:pPr>
        <w:spacing w:after="15" w:line="259" w:lineRule="auto"/>
        <w:ind w:left="0" w:firstLine="0"/>
      </w:pPr>
      <w:r>
        <w:t xml:space="preserve"> </w:t>
      </w:r>
    </w:p>
    <w:p w:rsidR="00EB213E" w:rsidRDefault="00304FE1">
      <w:pPr>
        <w:ind w:left="-5"/>
      </w:pPr>
      <w:r>
        <w:rPr>
          <w:b/>
        </w:rPr>
        <w:t>Homework 1</w:t>
      </w:r>
      <w:r>
        <w:t xml:space="preserve"> (Due Week 2)  </w:t>
      </w:r>
    </w:p>
    <w:p w:rsidR="00EB213E" w:rsidRDefault="00304FE1">
      <w:pPr>
        <w:numPr>
          <w:ilvl w:val="0"/>
          <w:numId w:val="2"/>
        </w:numPr>
        <w:spacing w:after="43"/>
        <w:ind w:hanging="361"/>
      </w:pPr>
      <w:r>
        <w:t>Why do you think there are so many genealogies in Chronicles? Consider Genesis 3:15, Numbers 1:50-53, Deuteronomy 23:3-8, Ezra 2:62, Nehe</w:t>
      </w:r>
      <w:r>
        <w:t xml:space="preserve">miah 13:3. </w:t>
      </w:r>
    </w:p>
    <w:p w:rsidR="00EB213E" w:rsidRDefault="00304FE1">
      <w:pPr>
        <w:numPr>
          <w:ilvl w:val="0"/>
          <w:numId w:val="2"/>
        </w:numPr>
        <w:spacing w:after="40"/>
        <w:ind w:hanging="361"/>
      </w:pPr>
      <w:r>
        <w:t xml:space="preserve">Very few of David’s failures are represented in Chronicles.  Some have suggested that this is to guard David’s reputation.  Do you agree? Why or why not? </w:t>
      </w:r>
    </w:p>
    <w:p w:rsidR="00EB213E" w:rsidRDefault="00304FE1">
      <w:pPr>
        <w:numPr>
          <w:ilvl w:val="0"/>
          <w:numId w:val="2"/>
        </w:numPr>
        <w:ind w:hanging="361"/>
      </w:pPr>
      <w:r>
        <w:t xml:space="preserve">How would you reconcile </w:t>
      </w:r>
      <w:proofErr w:type="gramStart"/>
      <w:r>
        <w:t>I</w:t>
      </w:r>
      <w:proofErr w:type="gramEnd"/>
      <w:r>
        <w:t xml:space="preserve"> Chronicles 21:1 and II Sam 24:1?  </w:t>
      </w:r>
    </w:p>
    <w:p w:rsidR="00EB213E" w:rsidRDefault="00304FE1">
      <w:pPr>
        <w:spacing w:after="20" w:line="259" w:lineRule="auto"/>
        <w:ind w:left="0" w:firstLine="0"/>
      </w:pPr>
      <w:r>
        <w:t xml:space="preserve"> </w:t>
      </w:r>
    </w:p>
    <w:p w:rsidR="00EB213E" w:rsidRDefault="00304FE1">
      <w:pPr>
        <w:spacing w:after="50"/>
        <w:ind w:left="-5"/>
      </w:pPr>
      <w:r>
        <w:rPr>
          <w:b/>
        </w:rPr>
        <w:t>Homework 2</w:t>
      </w:r>
      <w:r>
        <w:t xml:space="preserve"> (Due Week 3) </w:t>
      </w:r>
    </w:p>
    <w:p w:rsidR="00EB213E" w:rsidRDefault="00304FE1">
      <w:pPr>
        <w:numPr>
          <w:ilvl w:val="0"/>
          <w:numId w:val="3"/>
        </w:numPr>
        <w:ind w:hanging="361"/>
      </w:pPr>
      <w:r>
        <w:t>I Chronicles 28:12, 19 indicate that David was under God’s influence in the design of the temple.  Isn’t this just a building?  Solomon remarks in II Chronicles 6:18, “The heavens, even the highest heavens, cannot contain you. How much less this temple I h</w:t>
      </w:r>
      <w:r>
        <w:t xml:space="preserve">ave built!”  Why would God get so involved in this process?  </w:t>
      </w:r>
    </w:p>
    <w:p w:rsidR="00EB213E" w:rsidRDefault="00304FE1">
      <w:pPr>
        <w:numPr>
          <w:ilvl w:val="0"/>
          <w:numId w:val="3"/>
        </w:numPr>
        <w:ind w:hanging="361"/>
      </w:pPr>
      <w:r>
        <w:t xml:space="preserve">For each of the two verses of I Chronicles 29:14-15, give one argument for generous financial giving; that is, two arguments total. </w:t>
      </w:r>
    </w:p>
    <w:p w:rsidR="00EB213E" w:rsidRDefault="00304FE1">
      <w:pPr>
        <w:spacing w:after="15" w:line="259" w:lineRule="auto"/>
        <w:ind w:left="0" w:firstLine="0"/>
      </w:pPr>
      <w:r>
        <w:t xml:space="preserve"> </w:t>
      </w:r>
    </w:p>
    <w:p w:rsidR="00EB213E" w:rsidRDefault="00304FE1">
      <w:pPr>
        <w:ind w:left="-5"/>
      </w:pPr>
      <w:r>
        <w:rPr>
          <w:b/>
        </w:rPr>
        <w:t>Homework 3</w:t>
      </w:r>
      <w:r>
        <w:t xml:space="preserve"> (Due Week 4) </w:t>
      </w:r>
    </w:p>
    <w:p w:rsidR="00EB213E" w:rsidRDefault="00304FE1">
      <w:pPr>
        <w:numPr>
          <w:ilvl w:val="0"/>
          <w:numId w:val="4"/>
        </w:numPr>
        <w:spacing w:after="37"/>
        <w:ind w:hanging="361"/>
      </w:pPr>
      <w:r>
        <w:t>Elijah is mentioned only once in C</w:t>
      </w:r>
      <w:r>
        <w:t xml:space="preserve">hronicles and Elisha is never mentioned. Each of them receives numerous chapters in Kings. What might explain this difference?  </w:t>
      </w:r>
    </w:p>
    <w:p w:rsidR="00EB213E" w:rsidRDefault="00304FE1">
      <w:pPr>
        <w:numPr>
          <w:ilvl w:val="0"/>
          <w:numId w:val="4"/>
        </w:numPr>
        <w:ind w:hanging="361"/>
      </w:pPr>
      <w:r>
        <w:t>In II Chronicles 15:17, we read that, “Asa’s heart was fully committed to the LORD all his life.”  Harmonize such a sweeping st</w:t>
      </w:r>
      <w:r>
        <w:t xml:space="preserve">atement with the descriptions of Asa in II Chronicles 16. </w:t>
      </w:r>
    </w:p>
    <w:p w:rsidR="00EB213E" w:rsidRDefault="00304FE1">
      <w:pPr>
        <w:spacing w:after="15" w:line="259" w:lineRule="auto"/>
        <w:ind w:left="0" w:firstLine="0"/>
      </w:pPr>
      <w:r>
        <w:t xml:space="preserve"> </w:t>
      </w:r>
    </w:p>
    <w:p w:rsidR="00EB213E" w:rsidRDefault="00304FE1">
      <w:pPr>
        <w:ind w:left="-5"/>
      </w:pPr>
      <w:r>
        <w:rPr>
          <w:b/>
        </w:rPr>
        <w:t xml:space="preserve">Homework 4 </w:t>
      </w:r>
      <w:r>
        <w:t xml:space="preserve">(Due Week 5) </w:t>
      </w:r>
    </w:p>
    <w:p w:rsidR="00EB213E" w:rsidRDefault="00304FE1">
      <w:pPr>
        <w:ind w:left="370" w:right="89"/>
      </w:pPr>
      <w:r>
        <w:t>A.</w:t>
      </w:r>
      <w:r>
        <w:rPr>
          <w:rFonts w:ascii="Arial" w:eastAsia="Arial" w:hAnsi="Arial" w:cs="Arial"/>
        </w:rPr>
        <w:t xml:space="preserve"> </w:t>
      </w:r>
      <w:r>
        <w:t>Manasseh is portrayed as one of the absolute worst kings in II Kings 21.  Given the story in II Chronicles 33, why would the author of II Kings exclude this informatio</w:t>
      </w:r>
      <w:r>
        <w:t>n?  Conversely, given some of the things Manasseh did, why should the author of Chronicles seek to exonerate him? B.</w:t>
      </w:r>
      <w:r>
        <w:rPr>
          <w:rFonts w:ascii="Arial" w:eastAsia="Arial" w:hAnsi="Arial" w:cs="Arial"/>
        </w:rPr>
        <w:t xml:space="preserve"> </w:t>
      </w:r>
      <w:r>
        <w:t xml:space="preserve">Name at least one similarity and at least one difference between II Kings 17:7-23 and II Chronicles 36:15-19. </w:t>
      </w:r>
    </w:p>
    <w:sectPr w:rsidR="00EB213E">
      <w:pgSz w:w="12240" w:h="15840"/>
      <w:pgMar w:top="1450" w:right="1447" w:bottom="3178"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D72A9"/>
    <w:multiLevelType w:val="hybridMultilevel"/>
    <w:tmpl w:val="143EE00E"/>
    <w:lvl w:ilvl="0" w:tplc="367C83FA">
      <w:start w:val="1"/>
      <w:numFmt w:val="upperLetter"/>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C056A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A62B4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6219D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B4626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247FC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88233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2E153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209F5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9D7B22"/>
    <w:multiLevelType w:val="hybridMultilevel"/>
    <w:tmpl w:val="392245E2"/>
    <w:lvl w:ilvl="0" w:tplc="7F3E12CC">
      <w:start w:val="1"/>
      <w:numFmt w:val="upperLetter"/>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60970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FA8F8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4CEA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50CF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06694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3CB3D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76267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7CCC8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3AE2A5A"/>
    <w:multiLevelType w:val="hybridMultilevel"/>
    <w:tmpl w:val="E4AC2B2E"/>
    <w:lvl w:ilvl="0" w:tplc="0B1478E6">
      <w:start w:val="1"/>
      <w:numFmt w:val="upperLetter"/>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62D7F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CE113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8C6F3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C8100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2CB69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3A7C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CCAF8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2493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A77260"/>
    <w:multiLevelType w:val="hybridMultilevel"/>
    <w:tmpl w:val="27D8F7B4"/>
    <w:lvl w:ilvl="0" w:tplc="3E246A6C">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3A131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AE463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409EE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744DA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2844D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BEB5C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26F0D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607F4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3E"/>
    <w:rsid w:val="00304FE1"/>
    <w:rsid w:val="00EB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8FAE9B-18B4-4A43-9A30-78E7ACC7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70"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6"/>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Xenos Christian Fellowship</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ReederP</dc:creator>
  <cp:keywords/>
  <cp:lastModifiedBy>PhillipsK</cp:lastModifiedBy>
  <cp:revision>2</cp:revision>
  <dcterms:created xsi:type="dcterms:W3CDTF">2020-04-20T20:06:00Z</dcterms:created>
  <dcterms:modified xsi:type="dcterms:W3CDTF">2020-04-20T20:06:00Z</dcterms:modified>
</cp:coreProperties>
</file>